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6426" w:rsidRPr="00BA294F" w:rsidRDefault="00E26E72" w:rsidP="003C7AA7">
      <w:pPr>
        <w:spacing w:after="0" w:line="240" w:lineRule="auto"/>
        <w:jc w:val="center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C7AA7" w:rsidRDefault="00E26E72" w:rsidP="003C7AA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0c037b7b-5520-4791-a03a-b18d3eebfa6a"/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и молодежной политики </w:t>
      </w:r>
    </w:p>
    <w:p w:rsidR="009E6426" w:rsidRPr="00BA294F" w:rsidRDefault="00E26E72" w:rsidP="003C7AA7">
      <w:pPr>
        <w:spacing w:after="0" w:line="240" w:lineRule="auto"/>
        <w:jc w:val="center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Свердловской области</w:t>
      </w:r>
      <w:bookmarkEnd w:id="0"/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E6426" w:rsidRPr="00BA294F" w:rsidRDefault="00E26E72" w:rsidP="003C7AA7">
      <w:pPr>
        <w:spacing w:after="0" w:line="240" w:lineRule="auto"/>
        <w:jc w:val="center"/>
        <w:rPr>
          <w:lang w:val="ru-RU"/>
        </w:rPr>
      </w:pPr>
      <w:bookmarkStart w:id="1" w:name="afb608da-8ae8-4d65-84e8-c89526b10adb"/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Комитет по образованию, культуре, спорту и делам молодежи администрации </w:t>
      </w:r>
      <w:proofErr w:type="spellStart"/>
      <w:r w:rsidRPr="00BA294F">
        <w:rPr>
          <w:rFonts w:ascii="Times New Roman" w:hAnsi="Times New Roman"/>
          <w:b/>
          <w:color w:val="000000"/>
          <w:sz w:val="28"/>
          <w:lang w:val="ru-RU"/>
        </w:rPr>
        <w:t>Камышловского</w:t>
      </w:r>
      <w:proofErr w:type="spellEnd"/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 городского округа</w:t>
      </w:r>
      <w:bookmarkEnd w:id="1"/>
    </w:p>
    <w:p w:rsidR="003C7AA7" w:rsidRDefault="003C7AA7" w:rsidP="003C7AA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Муниципальное автономное общеобразовательное учреждение </w:t>
      </w:r>
    </w:p>
    <w:p w:rsidR="003C7AA7" w:rsidRDefault="003C7AA7" w:rsidP="003C7AA7">
      <w:pPr>
        <w:spacing w:after="0" w:line="240" w:lineRule="auto"/>
        <w:jc w:val="center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"Школа № 3" 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lang w:val="ru-RU"/>
        </w:rPr>
        <w:t>Камышловского</w:t>
      </w:r>
      <w:proofErr w:type="spellEnd"/>
      <w:r>
        <w:rPr>
          <w:rFonts w:ascii="Times New Roman" w:hAnsi="Times New Roman" w:cs="Times New Roman"/>
          <w:b/>
          <w:color w:val="000000"/>
          <w:sz w:val="28"/>
          <w:lang w:val="ru-RU"/>
        </w:rPr>
        <w:t xml:space="preserve"> городского округа</w:t>
      </w:r>
    </w:p>
    <w:p w:rsidR="003C7AA7" w:rsidRDefault="003C7AA7" w:rsidP="003C7AA7">
      <w:pPr>
        <w:spacing w:after="0" w:line="240" w:lineRule="auto"/>
        <w:ind w:left="119"/>
        <w:rPr>
          <w:rFonts w:ascii="Times New Roman" w:hAnsi="Times New Roman" w:cs="Times New Roman"/>
          <w:lang w:val="ru-RU"/>
        </w:rPr>
      </w:pPr>
    </w:p>
    <w:p w:rsidR="003C7AA7" w:rsidRDefault="003C7AA7" w:rsidP="003C7AA7">
      <w:pPr>
        <w:spacing w:after="0"/>
        <w:rPr>
          <w:rFonts w:ascii="Times New Roman" w:hAnsi="Times New Roman" w:cs="Times New Roman"/>
          <w:lang w:val="ru-RU"/>
        </w:rPr>
      </w:pPr>
    </w:p>
    <w:p w:rsidR="003C7AA7" w:rsidRDefault="003C7AA7" w:rsidP="003C7AA7">
      <w:pPr>
        <w:spacing w:after="0"/>
        <w:rPr>
          <w:rFonts w:ascii="Times New Roman" w:hAnsi="Times New Roman" w:cs="Times New Roman"/>
          <w:lang w:val="ru-RU"/>
        </w:rPr>
      </w:pPr>
    </w:p>
    <w:p w:rsidR="003C7AA7" w:rsidRDefault="003C7AA7" w:rsidP="003C7AA7">
      <w:pPr>
        <w:spacing w:after="0"/>
        <w:ind w:left="120"/>
        <w:rPr>
          <w:rFonts w:ascii="Times New Roman" w:hAnsi="Times New Roman" w:cs="Times New Roman"/>
          <w:lang w:val="ru-RU"/>
        </w:rPr>
      </w:pPr>
    </w:p>
    <w:tbl>
      <w:tblPr>
        <w:tblW w:w="10454" w:type="dxa"/>
        <w:tblLook w:val="04A0" w:firstRow="1" w:lastRow="0" w:firstColumn="1" w:lastColumn="0" w:noHBand="0" w:noVBand="1"/>
      </w:tblPr>
      <w:tblGrid>
        <w:gridCol w:w="3484"/>
        <w:gridCol w:w="3485"/>
        <w:gridCol w:w="3485"/>
      </w:tblGrid>
      <w:tr w:rsidR="003C7AA7" w:rsidRPr="005B2606" w:rsidTr="003C7AA7">
        <w:trPr>
          <w:trHeight w:val="2360"/>
        </w:trPr>
        <w:tc>
          <w:tcPr>
            <w:tcW w:w="3484" w:type="dxa"/>
          </w:tcPr>
          <w:p w:rsidR="003C7AA7" w:rsidRDefault="003C7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руководителем ШМО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</w:t>
            </w:r>
          </w:p>
          <w:p w:rsidR="003C7AA7" w:rsidRDefault="003C7A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Т.Ю.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Кунгурцева</w:t>
            </w:r>
            <w:proofErr w:type="spellEnd"/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 от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» августа   2025 г.</w:t>
            </w:r>
          </w:p>
          <w:p w:rsidR="003C7AA7" w:rsidRDefault="003C7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</w:tcPr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заместителем директора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3C7AA7" w:rsidRDefault="003C7AA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С.Г.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Фертикова</w:t>
            </w:r>
            <w:proofErr w:type="spellEnd"/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50 от «27» августа 2025 г.</w:t>
            </w:r>
          </w:p>
          <w:p w:rsidR="003C7AA7" w:rsidRDefault="003C7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485" w:type="dxa"/>
          </w:tcPr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директором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___________________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         И.Г. Третьякова</w:t>
            </w:r>
          </w:p>
          <w:p w:rsidR="003C7AA7" w:rsidRDefault="003C7AA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Протокол № 85 от «30» августа 2025 г.</w:t>
            </w:r>
          </w:p>
          <w:p w:rsidR="003C7AA7" w:rsidRDefault="003C7AA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3C7AA7" w:rsidRDefault="003C7AA7" w:rsidP="003C7AA7">
      <w:pPr>
        <w:spacing w:after="0"/>
        <w:ind w:left="120"/>
        <w:rPr>
          <w:lang w:val="ru-RU"/>
        </w:rPr>
      </w:pPr>
    </w:p>
    <w:p w:rsidR="009E6426" w:rsidRPr="00BA294F" w:rsidRDefault="009E6426">
      <w:pPr>
        <w:spacing w:after="0"/>
        <w:ind w:left="120"/>
        <w:rPr>
          <w:lang w:val="ru-RU"/>
        </w:rPr>
      </w:pPr>
    </w:p>
    <w:p w:rsidR="009E6426" w:rsidRPr="00BA294F" w:rsidRDefault="009E6426">
      <w:pPr>
        <w:spacing w:after="0"/>
        <w:ind w:left="120"/>
        <w:rPr>
          <w:lang w:val="ru-RU"/>
        </w:rPr>
      </w:pPr>
    </w:p>
    <w:p w:rsidR="009E6426" w:rsidRDefault="009E6426">
      <w:pPr>
        <w:spacing w:after="0"/>
        <w:ind w:left="120"/>
        <w:rPr>
          <w:lang w:val="ru-RU"/>
        </w:rPr>
      </w:pPr>
    </w:p>
    <w:p w:rsidR="003C7AA7" w:rsidRPr="00BA294F" w:rsidRDefault="003C7AA7">
      <w:pPr>
        <w:spacing w:after="0"/>
        <w:ind w:left="120"/>
        <w:rPr>
          <w:lang w:val="ru-RU"/>
        </w:rPr>
      </w:pPr>
    </w:p>
    <w:p w:rsidR="009E6426" w:rsidRPr="00BA294F" w:rsidRDefault="009E6426">
      <w:pPr>
        <w:spacing w:after="0"/>
        <w:ind w:left="120"/>
        <w:rPr>
          <w:lang w:val="ru-RU"/>
        </w:rPr>
      </w:pPr>
    </w:p>
    <w:p w:rsidR="009E6426" w:rsidRPr="00BA294F" w:rsidRDefault="009E6426" w:rsidP="003C7AA7">
      <w:pPr>
        <w:spacing w:after="0"/>
        <w:rPr>
          <w:lang w:val="ru-RU"/>
        </w:rPr>
      </w:pPr>
    </w:p>
    <w:p w:rsidR="009E6426" w:rsidRPr="00BA294F" w:rsidRDefault="00E26E72">
      <w:pPr>
        <w:spacing w:after="0" w:line="408" w:lineRule="auto"/>
        <w:ind w:left="120"/>
        <w:jc w:val="center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E6426" w:rsidRPr="00BA294F" w:rsidRDefault="00E26E72">
      <w:pPr>
        <w:spacing w:after="0" w:line="408" w:lineRule="auto"/>
        <w:ind w:left="120"/>
        <w:jc w:val="center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BA294F">
        <w:rPr>
          <w:rFonts w:ascii="Times New Roman" w:hAnsi="Times New Roman"/>
          <w:color w:val="000000"/>
          <w:sz w:val="28"/>
          <w:lang w:val="ru-RU"/>
        </w:rPr>
        <w:t xml:space="preserve"> 1489368)</w:t>
      </w: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E26E72">
      <w:pPr>
        <w:spacing w:after="0" w:line="408" w:lineRule="auto"/>
        <w:ind w:left="120"/>
        <w:jc w:val="center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9E6426" w:rsidRPr="00BA294F" w:rsidRDefault="00E26E72">
      <w:pPr>
        <w:spacing w:after="0" w:line="408" w:lineRule="auto"/>
        <w:ind w:left="120"/>
        <w:jc w:val="center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9E6426" w:rsidRPr="00BA294F" w:rsidRDefault="009E6426">
      <w:pPr>
        <w:spacing w:after="0"/>
        <w:ind w:left="120"/>
        <w:jc w:val="center"/>
        <w:rPr>
          <w:lang w:val="ru-RU"/>
        </w:rPr>
      </w:pPr>
    </w:p>
    <w:p w:rsidR="003C7AA7" w:rsidRPr="00BA294F" w:rsidRDefault="003C7AA7" w:rsidP="003C7AA7">
      <w:pPr>
        <w:spacing w:after="0"/>
        <w:rPr>
          <w:lang w:val="ru-RU"/>
        </w:rPr>
      </w:pPr>
    </w:p>
    <w:p w:rsidR="009E6426" w:rsidRPr="00BA294F" w:rsidRDefault="00BA294F">
      <w:pPr>
        <w:spacing w:after="0"/>
        <w:ind w:left="120"/>
        <w:jc w:val="center"/>
        <w:rPr>
          <w:lang w:val="ru-RU"/>
        </w:rPr>
      </w:pPr>
      <w:bookmarkStart w:id="2" w:name="00db9df5-4f18-4315-937d-9949a0b704d1"/>
      <w:r>
        <w:rPr>
          <w:rFonts w:ascii="Times New Roman" w:hAnsi="Times New Roman"/>
          <w:b/>
          <w:color w:val="000000"/>
          <w:sz w:val="28"/>
          <w:lang w:val="ru-RU"/>
        </w:rPr>
        <w:t>Камышлов 2025</w:t>
      </w:r>
      <w:r w:rsidR="00E26E72"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9cbcb13b-ef51-4f5f-b56f-5fc99c9360c2"/>
      <w:bookmarkEnd w:id="2"/>
      <w:r w:rsidR="00E26E72" w:rsidRPr="00BA294F">
        <w:rPr>
          <w:rFonts w:ascii="Times New Roman" w:hAnsi="Times New Roman"/>
          <w:b/>
          <w:color w:val="000000"/>
          <w:sz w:val="28"/>
          <w:lang w:val="ru-RU"/>
        </w:rPr>
        <w:t>год</w:t>
      </w:r>
      <w:bookmarkEnd w:id="3"/>
    </w:p>
    <w:p w:rsidR="009E6426" w:rsidRPr="00BA294F" w:rsidRDefault="009E6426">
      <w:pPr>
        <w:rPr>
          <w:lang w:val="ru-RU"/>
        </w:rPr>
        <w:sectPr w:rsidR="009E6426" w:rsidRPr="00BA294F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10677337"/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bookmarkStart w:id="5" w:name="block-10677338"/>
      <w:bookmarkEnd w:id="4"/>
      <w:r w:rsidRPr="00BA294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6" w:name="b36699e0-a848-4276-9295-9131bc7b4ab1"/>
      <w:r w:rsidRPr="005B2606">
        <w:rPr>
          <w:rFonts w:ascii="Times New Roman" w:hAnsi="Times New Roman"/>
          <w:color w:val="000000"/>
          <w:sz w:val="28"/>
          <w:lang w:val="ru-RU"/>
        </w:rPr>
        <w:t xml:space="preserve">Геометрия является одним из базовых курсов на уровне среднего общего образования, так как обеспечивает возможность изучения дисциплин естественно-научной направленности и предметов гуманитарного цикла. Поскольку логическое мышление, формируемое при изучении обучающимися понятийных основ геометрии, при доказательстве теорем и построении цепочки логических утверждений при решении геометрических задач, умение выдвигать и опровергать гипотезы непосредственно используются при решении задач естественно-научного цикла, в частности физических задач.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В рамках инженерного класса по направлению «Черная и цветная металлургия» логическое и пространственное мышление, развиваемое геометрией, становится фундаментом для чтения и создания сложных инженерных чертежей, схем технологических установок,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трѐхмерных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моделей оборудования и конструкций в системах автоматизированного проектирования (</w:t>
      </w:r>
      <w:r w:rsidRPr="005B2606">
        <w:rPr>
          <w:rFonts w:ascii="Times New Roman" w:hAnsi="Times New Roman"/>
          <w:color w:val="000000"/>
          <w:sz w:val="28"/>
        </w:rPr>
        <w:t>CAD</w:t>
      </w:r>
      <w:r w:rsidRPr="005B2606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Цель освоения программы учебного курса «Геометрия» на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уровне – развитие </w:t>
      </w:r>
      <w:proofErr w:type="gramStart"/>
      <w:r w:rsidRPr="005B2606">
        <w:rPr>
          <w:rFonts w:ascii="Times New Roman" w:hAnsi="Times New Roman"/>
          <w:color w:val="000000"/>
          <w:sz w:val="28"/>
          <w:lang w:val="ru-RU"/>
        </w:rPr>
        <w:t>индивидуальных способностей</w:t>
      </w:r>
      <w:proofErr w:type="gram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обучающихся при изучении геометрии, как составляющей предметной области «Математика и информатика» через обеспечение возможности приобретения и использования более глубоких геометрических знаний и действий, специфичных геометрии, и необходимых для успешного профессионального образования, связанного с использованием математики.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Для профиля металлургии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углублѐнные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геометрические знания необходимы для успешного освоения вузовских дисциплин, таких как начертательная геометрия, инженерная графика, сопротивление материалов, теория обработки металлов давлением, где строгая геометрическая аргументация является основой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расчѐтов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Приоритетными задачами курса геометрии на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уровне, расширяющими и усиливающими курс базового уровня, являются: расширение представления о геометрии как части мировой культуры и формирование осознания взаимосвязи геометрии с окружающим миром; формирование представления о пространственных фигурах как о важнейших математических моделях, позволяющих описывать и изучать разные явления окружающего мира, знание понятийного аппарата по разделу «Стереометрия» учебного курса геометрии; формирование умения владеть основными понятиями о пространственных фигурах и их основными свойствами, знание теорем, формул и умение их применять, умения доказывать теоремы и находить нестандартные способы решения задач; </w:t>
      </w:r>
      <w:r w:rsidRPr="005B2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умения распознавать на чертежах, моделях и в реальном мире многогранники и тела вращения, конструировать геометрические модели; формирование понимания возможности аксиоматического построения математических теорий, формирование понимания роли аксиоматики при проведении рассуждений; формирование умения владеть методами доказательств и алгоритмов решения, умения их применять, проводить доказательные рассуждения в ходе решения стереометрических задач и задач с практическим содержанием,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рассуждений; развитие и совершенствование интеллектуальных и творческих способностей обучающихся, познавательной активности, исследовательских умений, критичности мышления, интереса к изучению геометрии; формирование функциональной грамотности, релевантной геометрии: умения распознавать проявления геометрических понятий, объектов и закономерностей в реальных жизненных ситуациях и при изучении других учебных предметов, проявления зависимостей и закономерностей, моделирования реальных ситуаций, исследования построенных моделей, интерпретации полученных результатов.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В контексте металлургического производства эти задачи приобретают практическую значимость: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>Пространственные фигуры моделируют реальные объекты: доменные печи (сочетание цилиндров, конусов), ковши (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усечѐнные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конусы), прокатные валки (цилиндры), кристаллы в структуре металла (многогранники).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Навыки доказательства и поиска нестандартных решений переносятся на задачи проектирования и оптимизации технологической оснастки.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>Конструирование геометрических моделей лежит в основе создания 3</w:t>
      </w:r>
      <w:r w:rsidRPr="005B2606">
        <w:rPr>
          <w:rFonts w:ascii="Times New Roman" w:hAnsi="Times New Roman"/>
          <w:color w:val="000000"/>
          <w:sz w:val="28"/>
        </w:rPr>
        <w:t>D</w:t>
      </w:r>
      <w:r w:rsidRPr="005B2606">
        <w:rPr>
          <w:rFonts w:ascii="Times New Roman" w:hAnsi="Times New Roman"/>
          <w:color w:val="000000"/>
          <w:sz w:val="28"/>
          <w:lang w:val="ru-RU"/>
        </w:rPr>
        <w:t xml:space="preserve">моделей деталей и узлов оборудования в курсе «Компьютерная графика. Черчение».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Аксиоматический подход формирует строгость мышления, необходимую для работы с технической документацией и стандартами.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Исследовательские умения применяются при анализе геометрии деформированного состояния металла при прокатке, ковке, волочении.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Основными содержательными линиями учебного курса «Геометрия» в 10– 11 классах являются: «Прямые и плоскости в пространстве», «Многогранники», «Тела вращения», «Векторы и координаты в пространстве», «Движения в пространстве».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Прикладное значение для металлургии: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Прямые и плоскости: анализ взаимного расположения элементов конструкций,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углов установки оборудования, определение условий перпендикулярности и параллельности в монтажных схемах.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Многогранники: изучение форм кристаллов в металлах и сплавах,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геометрических характеристик сечений сортового проката (балки, швеллеры), проектирование бункеров и загрузочных устройств.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Тела вращения: моделирование основных аппаратов (печи, реакторы, цистерны),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их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объѐмов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, площадей поверхностей, масс.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</w:t>
      </w:r>
      <w:r w:rsidRPr="005B2606">
        <w:rPr>
          <w:rFonts w:ascii="Times New Roman" w:hAnsi="Times New Roman"/>
          <w:color w:val="000000"/>
          <w:sz w:val="28"/>
          <w:lang w:val="ru-RU"/>
        </w:rPr>
        <w:t xml:space="preserve">екторы и координаты: основа для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расчѐтов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сил, моментов, скоростей в механизмах, использование в компьютерном моделировании (</w:t>
      </w:r>
      <w:r w:rsidRPr="005B2606">
        <w:rPr>
          <w:rFonts w:ascii="Times New Roman" w:hAnsi="Times New Roman"/>
          <w:color w:val="000000"/>
          <w:sz w:val="28"/>
        </w:rPr>
        <w:t>CAD</w:t>
      </w:r>
      <w:r w:rsidRPr="005B2606">
        <w:rPr>
          <w:rFonts w:ascii="Times New Roman" w:hAnsi="Times New Roman"/>
          <w:color w:val="000000"/>
          <w:sz w:val="28"/>
          <w:lang w:val="ru-RU"/>
        </w:rPr>
        <w:t>/</w:t>
      </w:r>
      <w:r w:rsidRPr="005B2606">
        <w:rPr>
          <w:rFonts w:ascii="Times New Roman" w:hAnsi="Times New Roman"/>
          <w:color w:val="000000"/>
          <w:sz w:val="28"/>
        </w:rPr>
        <w:t>CAE</w:t>
      </w:r>
      <w:r w:rsidRPr="005B2606">
        <w:rPr>
          <w:rFonts w:ascii="Times New Roman" w:hAnsi="Times New Roman"/>
          <w:color w:val="000000"/>
          <w:sz w:val="28"/>
          <w:lang w:val="ru-RU"/>
        </w:rPr>
        <w:t xml:space="preserve"> системы), программировании обработки на станках с ЧПУ.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Движения в пространстве: анализ кинематики механизмов прокатных станов, роботов-манипуляторов, конвейерных систем.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Сформулированное во ФГОС СОО требование «уметь оперировать понятиями», релевантными геометрии на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уровне обучения в 10– 11 классах, относится ко всем содержательным линиям учебного курса, а формирование логических умений распределяется не только по содержательным линиям, но и по годам обучения. Содержание образования, соответствующее предметным результатам освоения Федеральной рабочей программы,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распределѐнным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по годам обучения, структурировано таким образом, чтобы ко всем основным, принципиальным вопросам обучающиеся обращались неоднократно. Это позволяет организовать овладение геометрическими понятиями и навыками последовательно и поступательно, с соблюдением принципа преемственности, а новые знания включать в общую систему геометрических представлений обучающихся, расширяя и углубляя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еѐ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, образуя прочные множественные связи.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В инженерном классе эта преемственность усиливается за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счѐт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интеграции с курсами физики (разделы «Механика», «Молекулярная физика»), «Основы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мехатроники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и робототехники», «Компьютерное моделирование технических систем». Геометрические модели используются на всех этапах проектирования – от эскиза до цифрового прототипа.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t xml:space="preserve">Переход к изучению геометрии на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уровне позволяет: создать условия для дифференциации обучения, построения индивидуальных образовательных программ, обеспечить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углублѐнное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изучение геометрии как составляющей учебного предмета «Математика»; подготовить обучающихся к продолжению изучения математики с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учѐтом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выбора будущей профессии, обеспечивая преемственность между общим и профессиональным образованием. </w:t>
      </w:r>
    </w:p>
    <w:p w:rsidR="005B2606" w:rsidRDefault="005B2606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r w:rsidRPr="005B2606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Согласно стандарту «Инженерный класс.66»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углублѐнное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изучение геометрии в металлургическом профиле направлено на формирование готовности к решению конкретных технологических задач. Индивидуальные образовательные траектории могут включать проекты по применению геометрических методов для </w:t>
      </w:r>
      <w:proofErr w:type="spellStart"/>
      <w:r w:rsidRPr="005B2606">
        <w:rPr>
          <w:rFonts w:ascii="Times New Roman" w:hAnsi="Times New Roman"/>
          <w:color w:val="000000"/>
          <w:sz w:val="28"/>
          <w:lang w:val="ru-RU"/>
        </w:rPr>
        <w:t>расчѐта</w:t>
      </w:r>
      <w:proofErr w:type="spellEnd"/>
      <w:r w:rsidRPr="005B2606">
        <w:rPr>
          <w:rFonts w:ascii="Times New Roman" w:hAnsi="Times New Roman"/>
          <w:color w:val="000000"/>
          <w:sz w:val="28"/>
          <w:lang w:val="ru-RU"/>
        </w:rPr>
        <w:t xml:space="preserve"> оптимальной формы слитка, минимизации обрезков при раскрое металла, проектирования оснастки для литья. Это обеспечивает преемственность со специальностями высшего образования в области металлургии, машиностроения и строительства, востребованными на предприятиях Свердловской области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9E6426" w:rsidRPr="005B2606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6"/>
      <w:r w:rsidR="005B260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="005B2606" w:rsidRPr="005B2606">
        <w:rPr>
          <w:rFonts w:ascii="Times New Roman" w:hAnsi="Times New Roman"/>
          <w:color w:val="000000"/>
          <w:sz w:val="28"/>
          <w:lang w:val="ru-RU"/>
        </w:rPr>
        <w:t>В рамках технологического (инженерного) профиля часть этого времени целесообразно использовать для решения прикладных задач и выполнения прое</w:t>
      </w:r>
      <w:bookmarkStart w:id="7" w:name="_GoBack"/>
      <w:bookmarkEnd w:id="7"/>
      <w:r w:rsidR="005B2606" w:rsidRPr="005B2606">
        <w:rPr>
          <w:rFonts w:ascii="Times New Roman" w:hAnsi="Times New Roman"/>
          <w:color w:val="000000"/>
          <w:sz w:val="28"/>
          <w:lang w:val="ru-RU"/>
        </w:rPr>
        <w:t xml:space="preserve">ктных работ с использованием профессионального программного обеспечения (например, </w:t>
      </w:r>
      <w:proofErr w:type="spellStart"/>
      <w:r w:rsidR="005B2606" w:rsidRPr="005B2606">
        <w:rPr>
          <w:rFonts w:ascii="Times New Roman" w:hAnsi="Times New Roman"/>
          <w:color w:val="000000"/>
          <w:sz w:val="28"/>
        </w:rPr>
        <w:t>Kompas</w:t>
      </w:r>
      <w:proofErr w:type="spellEnd"/>
      <w:r w:rsidR="005B2606" w:rsidRPr="005B2606">
        <w:rPr>
          <w:rFonts w:ascii="Times New Roman" w:hAnsi="Times New Roman"/>
          <w:color w:val="000000"/>
          <w:sz w:val="28"/>
          <w:lang w:val="ru-RU"/>
        </w:rPr>
        <w:t>-3</w:t>
      </w:r>
      <w:r w:rsidR="005B2606" w:rsidRPr="005B2606">
        <w:rPr>
          <w:rFonts w:ascii="Times New Roman" w:hAnsi="Times New Roman"/>
          <w:color w:val="000000"/>
          <w:sz w:val="28"/>
        </w:rPr>
        <w:t>D</w:t>
      </w:r>
      <w:r w:rsidR="005B2606" w:rsidRPr="005B260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5B2606" w:rsidRPr="005B2606">
        <w:rPr>
          <w:rFonts w:ascii="Times New Roman" w:hAnsi="Times New Roman"/>
          <w:color w:val="000000"/>
          <w:sz w:val="28"/>
        </w:rPr>
        <w:t>AutoCAD</w:t>
      </w:r>
      <w:r w:rsidR="005B2606" w:rsidRPr="005B2606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="005B2606" w:rsidRPr="005B2606">
        <w:rPr>
          <w:rFonts w:ascii="Times New Roman" w:hAnsi="Times New Roman"/>
          <w:color w:val="000000"/>
          <w:sz w:val="28"/>
        </w:rPr>
        <w:t>Fusion</w:t>
      </w:r>
      <w:r w:rsidR="005B2606" w:rsidRPr="005B2606">
        <w:rPr>
          <w:rFonts w:ascii="Times New Roman" w:hAnsi="Times New Roman"/>
          <w:color w:val="000000"/>
          <w:sz w:val="28"/>
          <w:lang w:val="ru-RU"/>
        </w:rPr>
        <w:t xml:space="preserve"> 360) или его учебных версий. Практические задания могут быть основаны на реальных чертежах и спецификациях типового металлургического оборудования, предоставленных предприятиями-</w:t>
      </w:r>
      <w:proofErr w:type="spellStart"/>
      <w:r w:rsidR="005B2606" w:rsidRPr="005B2606">
        <w:rPr>
          <w:rFonts w:ascii="Times New Roman" w:hAnsi="Times New Roman"/>
          <w:color w:val="000000"/>
          <w:sz w:val="28"/>
          <w:lang w:val="ru-RU"/>
        </w:rPr>
        <w:t>партнѐрами</w:t>
      </w:r>
      <w:proofErr w:type="spellEnd"/>
      <w:r w:rsidR="005B2606" w:rsidRPr="005B2606">
        <w:rPr>
          <w:rFonts w:ascii="Times New Roman" w:hAnsi="Times New Roman"/>
          <w:color w:val="000000"/>
          <w:sz w:val="28"/>
          <w:lang w:val="ru-RU"/>
        </w:rPr>
        <w:t xml:space="preserve"> в рамках сетевого взаимодействия, что является ключевым элементом реализации образовательного стандарта «Инженерный класс.66».</w:t>
      </w:r>
    </w:p>
    <w:p w:rsidR="009E6426" w:rsidRPr="00BA294F" w:rsidRDefault="009E6426">
      <w:pPr>
        <w:rPr>
          <w:lang w:val="ru-RU"/>
        </w:rPr>
        <w:sectPr w:rsidR="009E6426" w:rsidRPr="00BA294F">
          <w:pgSz w:w="11906" w:h="16383"/>
          <w:pgMar w:top="1134" w:right="850" w:bottom="1134" w:left="1701" w:header="720" w:footer="720" w:gutter="0"/>
          <w:cols w:space="720"/>
        </w:sect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bookmarkStart w:id="8" w:name="block-10677340"/>
      <w:bookmarkEnd w:id="5"/>
      <w:r w:rsidRPr="00BA294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геометрическое и биномиальное.</w:t>
      </w: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lastRenderedPageBreak/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9E6426" w:rsidRPr="00BA294F" w:rsidRDefault="009E6426">
      <w:pPr>
        <w:rPr>
          <w:lang w:val="ru-RU"/>
        </w:rPr>
        <w:sectPr w:rsidR="009E6426" w:rsidRPr="00BA294F">
          <w:pgSz w:w="11906" w:h="16383"/>
          <w:pgMar w:top="1134" w:right="850" w:bottom="1134" w:left="1701" w:header="720" w:footer="720" w:gutter="0"/>
          <w:cols w:space="720"/>
        </w:sect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bookmarkStart w:id="9" w:name="block-10677339"/>
      <w:bookmarkEnd w:id="8"/>
      <w:r w:rsidRPr="00BA294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BA294F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BA294F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BA294F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left="120"/>
        <w:jc w:val="both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9E6426" w:rsidRPr="00BA294F" w:rsidRDefault="009E6426">
      <w:pPr>
        <w:spacing w:after="0" w:line="264" w:lineRule="auto"/>
        <w:ind w:left="120"/>
        <w:jc w:val="both"/>
        <w:rPr>
          <w:lang w:val="ru-RU"/>
        </w:rPr>
      </w:pP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A294F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BA294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находить и формулировать события: пересечение, объединение данных событий, событие, противоположное данному,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BA294F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BA294F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9E6426" w:rsidRPr="00BA294F" w:rsidRDefault="00E26E72">
      <w:pPr>
        <w:spacing w:after="0" w:line="264" w:lineRule="auto"/>
        <w:ind w:firstLine="600"/>
        <w:jc w:val="both"/>
        <w:rPr>
          <w:lang w:val="ru-RU"/>
        </w:rPr>
      </w:pPr>
      <w:r w:rsidRPr="00BA294F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9E6426" w:rsidRPr="00BA294F" w:rsidRDefault="009E6426">
      <w:pPr>
        <w:rPr>
          <w:lang w:val="ru-RU"/>
        </w:rPr>
        <w:sectPr w:rsidR="009E6426" w:rsidRPr="00BA294F">
          <w:pgSz w:w="11906" w:h="16383"/>
          <w:pgMar w:top="1134" w:right="850" w:bottom="1134" w:left="1701" w:header="720" w:footer="720" w:gutter="0"/>
          <w:cols w:space="720"/>
        </w:sectPr>
      </w:pPr>
    </w:p>
    <w:p w:rsidR="009E6426" w:rsidRDefault="00E26E72">
      <w:pPr>
        <w:spacing w:after="0"/>
        <w:ind w:left="120"/>
      </w:pPr>
      <w:bookmarkStart w:id="10" w:name="block-10677343"/>
      <w:bookmarkEnd w:id="9"/>
      <w:r w:rsidRPr="00BA294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E6426" w:rsidRDefault="00E26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9E6426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E6426" w:rsidRDefault="009E6426"/>
        </w:tc>
      </w:tr>
    </w:tbl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E26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718"/>
      </w:tblGrid>
      <w:tr w:rsidR="009E6426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9E6426" w:rsidRDefault="009E6426"/>
        </w:tc>
      </w:tr>
    </w:tbl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E26E72">
      <w:pPr>
        <w:spacing w:after="0"/>
        <w:ind w:left="120"/>
      </w:pPr>
      <w:bookmarkStart w:id="11" w:name="block-1067734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E6426" w:rsidRDefault="00E26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4331"/>
        <w:gridCol w:w="1319"/>
        <w:gridCol w:w="1841"/>
        <w:gridCol w:w="1910"/>
        <w:gridCol w:w="1347"/>
        <w:gridCol w:w="2221"/>
      </w:tblGrid>
      <w:tr w:rsidR="009E6426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Дисперсия биномиального распределения. Практическая работа с </w:t>
            </w: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геометрического распределения</w:t>
            </w:r>
            <w:proofErr w:type="gramStart"/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. .</w:t>
            </w:r>
            <w:proofErr w:type="gramEnd"/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Default="009E6426"/>
        </w:tc>
      </w:tr>
    </w:tbl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E26E7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9E6426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E6426" w:rsidRDefault="009E642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E6426" w:rsidRDefault="009E6426"/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Равномерное распределение. Примеры задач, приводящих к показательному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9E6426" w:rsidRDefault="009E6426">
            <w:pPr>
              <w:spacing w:after="0"/>
              <w:ind w:left="135"/>
            </w:pPr>
          </w:p>
        </w:tc>
      </w:tr>
      <w:tr w:rsidR="009E642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Pr="00BA294F" w:rsidRDefault="00E26E72">
            <w:pPr>
              <w:spacing w:after="0"/>
              <w:ind w:left="135"/>
              <w:rPr>
                <w:lang w:val="ru-RU"/>
              </w:rPr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 w:rsidRPr="00BA294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9E6426" w:rsidRDefault="00E26E7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E6426" w:rsidRDefault="009E6426"/>
        </w:tc>
      </w:tr>
    </w:tbl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9E6426">
      <w:pPr>
        <w:sectPr w:rsidR="009E642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E6426" w:rsidRDefault="00E26E72">
      <w:pPr>
        <w:spacing w:after="0"/>
        <w:ind w:left="120"/>
      </w:pPr>
      <w:bookmarkStart w:id="12" w:name="block-10677341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E6426" w:rsidRDefault="00E26E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E6426" w:rsidRDefault="009E6426">
      <w:pPr>
        <w:spacing w:after="0" w:line="480" w:lineRule="auto"/>
        <w:ind w:left="120"/>
      </w:pPr>
    </w:p>
    <w:p w:rsidR="009E6426" w:rsidRDefault="009E6426">
      <w:pPr>
        <w:spacing w:after="0" w:line="480" w:lineRule="auto"/>
        <w:ind w:left="120"/>
      </w:pPr>
    </w:p>
    <w:p w:rsidR="009E6426" w:rsidRDefault="009E6426">
      <w:pPr>
        <w:spacing w:after="0"/>
        <w:ind w:left="120"/>
      </w:pPr>
    </w:p>
    <w:p w:rsidR="009E6426" w:rsidRDefault="00E26E7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E6426" w:rsidRDefault="009E6426">
      <w:pPr>
        <w:spacing w:after="0" w:line="480" w:lineRule="auto"/>
        <w:ind w:left="120"/>
      </w:pPr>
    </w:p>
    <w:p w:rsidR="009E6426" w:rsidRDefault="009E6426">
      <w:pPr>
        <w:spacing w:after="0"/>
        <w:ind w:left="120"/>
      </w:pPr>
    </w:p>
    <w:p w:rsidR="009E6426" w:rsidRPr="00BA294F" w:rsidRDefault="00E26E72">
      <w:pPr>
        <w:spacing w:after="0" w:line="480" w:lineRule="auto"/>
        <w:ind w:left="120"/>
        <w:rPr>
          <w:lang w:val="ru-RU"/>
        </w:rPr>
      </w:pPr>
      <w:r w:rsidRPr="00BA294F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9E6426" w:rsidRDefault="00E26E72">
      <w:pPr>
        <w:spacing w:after="0" w:line="480" w:lineRule="auto"/>
        <w:ind w:left="120"/>
      </w:pPr>
      <w:bookmarkStart w:id="13" w:name="650223d2-78a3-48ed-bf60-01d1d63fcead"/>
      <w:proofErr w:type="spellStart"/>
      <w:r>
        <w:rPr>
          <w:rFonts w:ascii="Times New Roman" w:hAnsi="Times New Roman"/>
          <w:color w:val="000000"/>
          <w:sz w:val="28"/>
        </w:rPr>
        <w:t>Моя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школа</w:t>
      </w:r>
      <w:bookmarkEnd w:id="13"/>
      <w:proofErr w:type="spellEnd"/>
    </w:p>
    <w:p w:rsidR="009E6426" w:rsidRDefault="009E6426">
      <w:pPr>
        <w:sectPr w:rsidR="009E6426">
          <w:pgSz w:w="11906" w:h="16383"/>
          <w:pgMar w:top="1134" w:right="850" w:bottom="1134" w:left="1701" w:header="720" w:footer="720" w:gutter="0"/>
          <w:cols w:space="720"/>
        </w:sectPr>
      </w:pPr>
    </w:p>
    <w:bookmarkEnd w:id="12"/>
    <w:p w:rsidR="00E26E72" w:rsidRDefault="00E26E72"/>
    <w:sectPr w:rsidR="00E26E7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9E6426"/>
    <w:rsid w:val="003C7AA7"/>
    <w:rsid w:val="005B2606"/>
    <w:rsid w:val="009E6426"/>
    <w:rsid w:val="00BA294F"/>
    <w:rsid w:val="00E2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23395"/>
  <w15:docId w15:val="{F12D360F-9A9B-4E2B-BF12-6095CCE9D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4491</Words>
  <Characters>25603</Characters>
  <Application>Microsoft Office Word</Application>
  <DocSecurity>0</DocSecurity>
  <Lines>213</Lines>
  <Paragraphs>60</Paragraphs>
  <ScaleCrop>false</ScaleCrop>
  <Company/>
  <LinksUpToDate>false</LinksUpToDate>
  <CharactersWithSpaces>30034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5</cp:revision>
  <dcterms:created xsi:type="dcterms:W3CDTF">2025-09-16T05:16:00Z</dcterms:created>
  <dcterms:modified xsi:type="dcterms:W3CDTF">2025-12-11T08:44:00Z</dcterms:modified>
</cp:coreProperties>
</file>